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3" w:rsidRDefault="00FA6E83">
      <w:pPr>
        <w:pStyle w:val="Title"/>
        <w:jc w:val="left"/>
      </w:pPr>
    </w:p>
    <w:p w:rsidR="00FA6E83" w:rsidRDefault="00FA6E83">
      <w:pPr>
        <w:pStyle w:val="Title"/>
      </w:pPr>
      <w:r>
        <w:t>Acid-Base Calculations</w:t>
      </w:r>
    </w:p>
    <w:p w:rsidR="00FA6E83" w:rsidRDefault="00FA6E83">
      <w:pPr>
        <w:tabs>
          <w:tab w:val="left" w:pos="360"/>
          <w:tab w:val="center" w:pos="4500"/>
          <w:tab w:val="right" w:pos="9000"/>
        </w:tabs>
        <w:rPr>
          <w:b/>
          <w:i/>
        </w:rPr>
      </w:pPr>
    </w:p>
    <w:p w:rsidR="00FA6E83" w:rsidRDefault="00FA6E83">
      <w:pPr>
        <w:tabs>
          <w:tab w:val="left" w:pos="360"/>
          <w:tab w:val="center" w:pos="4500"/>
          <w:tab w:val="right" w:pos="9000"/>
        </w:tabs>
        <w:rPr>
          <w:b/>
          <w:i/>
        </w:rPr>
      </w:pPr>
      <w:r>
        <w:rPr>
          <w:b/>
          <w:i/>
        </w:rPr>
        <w:t>The Ion-Product Constant for Water, K</w:t>
      </w:r>
      <w:r>
        <w:rPr>
          <w:b/>
          <w:i/>
          <w:vertAlign w:val="subscript"/>
        </w:rPr>
        <w:t>w</w:t>
      </w:r>
    </w:p>
    <w:p w:rsidR="00FA6E83" w:rsidRDefault="00FA6E83">
      <w:pPr>
        <w:pStyle w:val="Footer"/>
        <w:tabs>
          <w:tab w:val="clear" w:pos="4320"/>
          <w:tab w:val="clear" w:pos="8640"/>
          <w:tab w:val="left" w:pos="360"/>
          <w:tab w:val="center" w:pos="4500"/>
          <w:tab w:val="right" w:pos="9000"/>
        </w:tabs>
      </w:pPr>
      <w:r>
        <w:t xml:space="preserve">  </w:t>
      </w:r>
    </w:p>
    <w:p w:rsidR="00FA6E83" w:rsidRDefault="00FA6E83">
      <w:pPr>
        <w:pStyle w:val="Footer"/>
        <w:tabs>
          <w:tab w:val="clear" w:pos="4320"/>
          <w:tab w:val="clear" w:pos="8640"/>
          <w:tab w:val="left" w:pos="360"/>
          <w:tab w:val="center" w:pos="4500"/>
          <w:tab w:val="right" w:pos="9000"/>
        </w:tabs>
      </w:pPr>
      <w:r>
        <w:t>Water undergoes ionization to a small extent:</w:t>
      </w:r>
    </w:p>
    <w:p w:rsidR="00FA6E83" w:rsidRDefault="00FA6E83">
      <w:pPr>
        <w:pStyle w:val="Footer"/>
        <w:tabs>
          <w:tab w:val="clear" w:pos="4320"/>
          <w:tab w:val="clear" w:pos="8640"/>
          <w:tab w:val="left" w:pos="360"/>
          <w:tab w:val="center" w:pos="4500"/>
          <w:tab w:val="right" w:pos="9000"/>
        </w:tabs>
      </w:pPr>
    </w:p>
    <w:p w:rsidR="00FA6E83" w:rsidRDefault="00FA6E83">
      <w:pPr>
        <w:pStyle w:val="Footer"/>
        <w:tabs>
          <w:tab w:val="clear" w:pos="4320"/>
          <w:tab w:val="clear" w:pos="8640"/>
          <w:tab w:val="left" w:pos="360"/>
          <w:tab w:val="center" w:pos="4500"/>
          <w:tab w:val="right" w:pos="9000"/>
        </w:tabs>
      </w:pPr>
      <w:r>
        <w:tab/>
      </w:r>
      <w:r>
        <w:tab/>
      </w:r>
      <w:proofErr w:type="gramStart"/>
      <w:r>
        <w:t>H</w:t>
      </w:r>
      <w:r>
        <w:rPr>
          <w:vertAlign w:val="subscript"/>
        </w:rPr>
        <w:t>2</w:t>
      </w:r>
      <w:r>
        <w:t>0(</w:t>
      </w:r>
      <w:proofErr w:type="gramEnd"/>
      <w:r>
        <w:rPr>
          <w:i/>
        </w:rPr>
        <w:t>l</w:t>
      </w:r>
      <w:r>
        <w:t xml:space="preserve">) </w:t>
      </w:r>
      <w:r>
        <w:rPr>
          <w:rFonts w:ascii="Symbol" w:hAnsi="Symbol"/>
        </w:rPr>
        <w:t></w:t>
      </w:r>
      <w:r>
        <w:t xml:space="preserve"> H</w:t>
      </w:r>
      <w:r>
        <w:rPr>
          <w:vertAlign w:val="superscript"/>
        </w:rPr>
        <w:t>+</w:t>
      </w:r>
      <w:r>
        <w:t>(</w:t>
      </w:r>
      <w:r>
        <w:rPr>
          <w:i/>
        </w:rPr>
        <w:t>aq</w:t>
      </w:r>
      <w:r>
        <w:t>) + OH</w:t>
      </w:r>
      <w:r>
        <w:rPr>
          <w:vertAlign w:val="superscript"/>
        </w:rPr>
        <w:t>–</w:t>
      </w:r>
      <w:r>
        <w:t>(</w:t>
      </w:r>
      <w:r>
        <w:rPr>
          <w:i/>
        </w:rPr>
        <w:t>aq</w:t>
      </w:r>
      <w:r>
        <w:t>)</w:t>
      </w:r>
      <w:r>
        <w:tab/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 xml:space="preserve">The equilibrium constant for the reaction is the </w:t>
      </w:r>
      <w:r>
        <w:rPr>
          <w:i/>
        </w:rPr>
        <w:t>ion-product constant for water</w:t>
      </w:r>
      <w:r>
        <w:t xml:space="preserve"> </w:t>
      </w:r>
      <w:r>
        <w:rPr>
          <w:i/>
        </w:rPr>
        <w:t>K</w:t>
      </w:r>
      <w:r>
        <w:rPr>
          <w:i/>
          <w:vertAlign w:val="subscript"/>
        </w:rPr>
        <w:t>w</w:t>
      </w:r>
      <w:r>
        <w:t>: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position w:val="-8"/>
        </w:rPr>
        <w:object w:dxaOrig="2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5.75pt" o:ole="">
            <v:imagedata r:id="rId7" r:pict="rId8" o:title=""/>
          </v:shape>
          <o:OLEObject Type="Embed" ProgID="Equation.3" ShapeID="_x0000_i1025" DrawAspect="Content" ObjectID="_1525257528" r:id="rId9"/>
        </w:object>
      </w:r>
      <w:r>
        <w:tab/>
        <w:t>(1)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>This is a key equation in acid-base chemistry. Note that the product of [H</w:t>
      </w:r>
      <w:r>
        <w:rPr>
          <w:vertAlign w:val="superscript"/>
        </w:rPr>
        <w:t>+</w:t>
      </w:r>
      <w:r>
        <w:t>] and [OH</w:t>
      </w:r>
      <w:r>
        <w:rPr>
          <w:vertAlign w:val="superscript"/>
        </w:rPr>
        <w:t>–</w:t>
      </w:r>
      <w:r>
        <w:t>] is a constant at a given temperature (</w:t>
      </w:r>
      <w:proofErr w:type="gramStart"/>
      <w:r>
        <w:t>Eq(</w:t>
      </w:r>
      <w:proofErr w:type="gramEnd"/>
      <w:r>
        <w:t>1) value is for 25</w:t>
      </w:r>
      <w:r>
        <w:rPr>
          <w:vertAlign w:val="superscript"/>
        </w:rPr>
        <w:t>o</w:t>
      </w:r>
      <w:r>
        <w:t>C). Thus as the hydrogen ion concentration of a solution increases, the hydroxide ion concentration decreases (and vice versa).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>The pH scale is widely used to report the molar concentration of hydrogen ion H</w:t>
      </w:r>
      <w:proofErr w:type="gramStart"/>
      <w:r>
        <w:rPr>
          <w:vertAlign w:val="superscript"/>
        </w:rPr>
        <w:t>+</w:t>
      </w:r>
      <w:r>
        <w:t>(</w:t>
      </w:r>
      <w:proofErr w:type="gramEnd"/>
      <w:r>
        <w:rPr>
          <w:i/>
        </w:rPr>
        <w:t>aq</w:t>
      </w:r>
      <w:r>
        <w:t>) in aqueous solution.  The pH of a solution is defined as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position w:val="-8"/>
        </w:rPr>
        <w:object w:dxaOrig="1700" w:dyaOrig="320">
          <v:shape id="_x0000_i1026" type="#_x0000_t75" style="width:84.75pt;height:15.75pt" o:ole="">
            <v:imagedata r:id="rId10" r:pict="rId11" o:title=""/>
          </v:shape>
          <o:OLEObject Type="Embed" ProgID="Equation.3" ShapeID="_x0000_i1026" DrawAspect="Content" ObjectID="_1525257529" r:id="rId12"/>
        </w:object>
      </w:r>
      <w:r>
        <w:tab/>
        <w:t>(2)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>Similarly, pOH and p</w:t>
      </w:r>
      <w:r>
        <w:rPr>
          <w:i/>
        </w:rPr>
        <w:t>K</w:t>
      </w:r>
      <w:r>
        <w:rPr>
          <w:i/>
          <w:vertAlign w:val="subscript"/>
        </w:rPr>
        <w:t>w</w:t>
      </w:r>
      <w:r>
        <w:t xml:space="preserve"> are defined as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position w:val="-8"/>
        </w:rPr>
        <w:object w:dxaOrig="2020" w:dyaOrig="320">
          <v:shape id="_x0000_i1027" type="#_x0000_t75" style="width:101.25pt;height:15.75pt" o:ole="">
            <v:imagedata r:id="rId13" r:pict="rId14" o:title=""/>
          </v:shape>
          <o:OLEObject Type="Embed" ProgID="Equation.3" ShapeID="_x0000_i1027" DrawAspect="Content" ObjectID="_1525257530" r:id="rId15"/>
        </w:object>
      </w:r>
      <w:r>
        <w:tab/>
        <w:t>(3)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position w:val="-8"/>
        </w:rPr>
        <w:object w:dxaOrig="2500" w:dyaOrig="280">
          <v:shape id="_x0000_i1028" type="#_x0000_t75" style="width:125.25pt;height:14.25pt" o:ole="">
            <v:imagedata r:id="rId16" r:pict="rId17" o:title=""/>
          </v:shape>
          <o:OLEObject Type="Embed" ProgID="Equation.3" ShapeID="_x0000_i1028" DrawAspect="Content" ObjectID="_1525257531" r:id="rId18"/>
        </w:object>
      </w:r>
      <w:r>
        <w:tab/>
        <w:t>(4)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>If you take the log</w:t>
      </w:r>
      <w:r>
        <w:rPr>
          <w:vertAlign w:val="subscript"/>
        </w:rPr>
        <w:t>10</w:t>
      </w:r>
      <w:r>
        <w:t xml:space="preserve"> of both sides of </w:t>
      </w:r>
      <w:proofErr w:type="gramStart"/>
      <w:r>
        <w:t>Eq(</w:t>
      </w:r>
      <w:proofErr w:type="gramEnd"/>
      <w:r>
        <w:t>1), multiply the resulting equation by (-1), and use the definitions of pH, pOH and p</w:t>
      </w:r>
      <w:r>
        <w:rPr>
          <w:i/>
        </w:rPr>
        <w:t>K</w:t>
      </w:r>
      <w:r>
        <w:rPr>
          <w:i/>
          <w:vertAlign w:val="subscript"/>
        </w:rPr>
        <w:t>w</w:t>
      </w:r>
      <w:r>
        <w:t xml:space="preserve"> above, the result is the very useful equation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proofErr w:type="gramStart"/>
      <w:r>
        <w:t>pH</w:t>
      </w:r>
      <w:proofErr w:type="gramEnd"/>
      <w:r>
        <w:t xml:space="preserve"> + pOH = p</w:t>
      </w:r>
      <w:r>
        <w:rPr>
          <w:i/>
        </w:rPr>
        <w:t>K</w:t>
      </w:r>
      <w:r>
        <w:rPr>
          <w:i/>
          <w:vertAlign w:val="subscript"/>
        </w:rPr>
        <w:t>w</w:t>
      </w:r>
      <w:r>
        <w:t xml:space="preserve"> = 14.00</w:t>
      </w:r>
      <w:r>
        <w:tab/>
        <w:t>(5)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>Equations (2) and (3) above may be solved for [H</w:t>
      </w:r>
      <w:r>
        <w:rPr>
          <w:vertAlign w:val="superscript"/>
        </w:rPr>
        <w:t>+</w:t>
      </w:r>
      <w:r>
        <w:t>] and [OH</w:t>
      </w:r>
      <w:r>
        <w:rPr>
          <w:vertAlign w:val="superscript"/>
        </w:rPr>
        <w:t>–</w:t>
      </w:r>
      <w:r>
        <w:t>] respectively to give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position w:val="-8"/>
        </w:rPr>
        <w:object w:dxaOrig="1180" w:dyaOrig="300">
          <v:shape id="_x0000_i1029" type="#_x0000_t75" style="width:60pt;height:15pt" o:ole="">
            <v:imagedata r:id="rId19" r:pict="rId20" o:title="" cropleft="-436f" cropright="-436f"/>
          </v:shape>
          <o:OLEObject Type="Embed" ProgID="Equation.3" ShapeID="_x0000_i1029" DrawAspect="Content" ObjectID="_1525257532" r:id="rId21">
            <o:FieldCodes>\* mergeformat</o:FieldCodes>
          </o:OLEObject>
        </w:object>
      </w:r>
      <w:r>
        <w:tab/>
        <w:t>(6)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position w:val="-8"/>
        </w:rPr>
        <w:object w:dxaOrig="1460" w:dyaOrig="300">
          <v:shape id="_x0000_i1030" type="#_x0000_t75" style="width:74.25pt;height:15pt" o:ole="">
            <v:imagedata r:id="rId22" r:pict="rId23" o:title="" cropleft="-436f" cropright="-436f"/>
          </v:shape>
          <o:OLEObject Type="Embed" ProgID="Equation.3" ShapeID="_x0000_i1030" DrawAspect="Content" ObjectID="_1525257533" r:id="rId24">
            <o:FieldCodes>\* mergeformat</o:FieldCodes>
          </o:OLEObject>
        </w:object>
      </w:r>
      <w:r>
        <w:tab/>
        <w:t>(7)</w:t>
      </w:r>
    </w:p>
    <w:p w:rsidR="00FA6E83" w:rsidRDefault="00FA6E83">
      <w:pPr>
        <w:pStyle w:val="Footer"/>
        <w:tabs>
          <w:tab w:val="clear" w:pos="4320"/>
          <w:tab w:val="clear" w:pos="8640"/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 xml:space="preserve">(Here we use the well known rule that </w:t>
      </w:r>
      <w:proofErr w:type="gramStart"/>
      <w:r>
        <w:t xml:space="preserve">if </w:t>
      </w:r>
      <w:proofErr w:type="gramEnd"/>
      <w:r>
        <w:rPr>
          <w:position w:val="-10"/>
        </w:rPr>
        <w:object w:dxaOrig="1040" w:dyaOrig="280">
          <v:shape id="_x0000_i1036" type="#_x0000_t75" style="width:53.25pt;height:14.25pt" o:ole="" o:bordertopcolor="red" o:borderleftcolor="red" o:borderbottomcolor="red" o:borderrightcolor="red">
            <v:imagedata r:id="rId25" r:pict="rId26" o:title="" cropleft="-606f" cropright="-606f"/>
            <w10:bordertop/>
            <w10:borderleft/>
            <w10:borderbottom/>
            <w10:borderright/>
          </v:shape>
          <o:OLEObject Type="Embed" ProgID="Equation.3" ShapeID="_x0000_i1036" DrawAspect="Content" ObjectID="_1525257534" r:id="rId27">
            <o:FieldCodes>\* mergeformat</o:FieldCodes>
          </o:OLEObject>
        </w:object>
      </w:r>
      <w:r>
        <w:t xml:space="preserve">, then </w:t>
      </w:r>
      <w:r>
        <w:rPr>
          <w:position w:val="-4"/>
        </w:rPr>
        <w:object w:dxaOrig="720" w:dyaOrig="320">
          <v:shape id="_x0000_i1037" type="#_x0000_t75" style="width:36.75pt;height:15.75pt" o:ole="" o:bordertopcolor="red" o:borderleftcolor="red" o:borderbottomcolor="red" o:borderrightcolor="red">
            <v:imagedata r:id="rId28" r:pict="rId29" o:title="" cropleft="-862f" cropright="-862f"/>
            <w10:bordertop/>
            <w10:borderleft/>
            <w10:borderbottom/>
            <w10:borderright/>
          </v:shape>
          <o:OLEObject Type="Embed" ProgID="Equation.3" ShapeID="_x0000_i1037" DrawAspect="Content" ObjectID="_1525257535" r:id="rId30">
            <o:FieldCodes>\* mergeformat</o:FieldCodes>
          </o:OLEObject>
        </w:object>
      </w:r>
      <w:r>
        <w:t>.) In practice, the pH scale is only used when [H</w:t>
      </w:r>
      <w:proofErr w:type="gramStart"/>
      <w:r>
        <w:rPr>
          <w:vertAlign w:val="superscript"/>
        </w:rPr>
        <w:t>+</w:t>
      </w:r>
      <w:r>
        <w:t>(</w:t>
      </w:r>
      <w:proofErr w:type="gramEnd"/>
      <w:r>
        <w:rPr>
          <w:i/>
        </w:rPr>
        <w:t>aq</w:t>
      </w:r>
      <w:r>
        <w:t>)] is less than 1.0 M.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p w:rsidR="00FA6E83" w:rsidRDefault="00FA6E83">
      <w:pPr>
        <w:tabs>
          <w:tab w:val="left" w:pos="360"/>
          <w:tab w:val="center" w:pos="4500"/>
          <w:tab w:val="right" w:pos="9000"/>
        </w:tabs>
      </w:pPr>
      <w:r>
        <w:t>Acidic, basic, and neutral solutions can be distinguished as shown below:</w:t>
      </w:r>
    </w:p>
    <w:p w:rsidR="00FA6E83" w:rsidRDefault="00FA6E83">
      <w:pPr>
        <w:tabs>
          <w:tab w:val="left" w:pos="360"/>
          <w:tab w:val="center" w:pos="4500"/>
          <w:tab w:val="right" w:pos="9000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7"/>
        <w:gridCol w:w="1323"/>
        <w:gridCol w:w="1886"/>
        <w:gridCol w:w="2074"/>
      </w:tblGrid>
      <w:tr w:rsidR="00FA6E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Type of Solution</w:t>
            </w:r>
          </w:p>
        </w:tc>
        <w:tc>
          <w:tcPr>
            <w:tcW w:w="1323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pH </w:t>
            </w:r>
          </w:p>
        </w:tc>
        <w:tc>
          <w:tcPr>
            <w:tcW w:w="1886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[H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>]</w:t>
            </w:r>
          </w:p>
        </w:tc>
        <w:tc>
          <w:tcPr>
            <w:tcW w:w="2074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Color of litmus</w:t>
            </w:r>
          </w:p>
        </w:tc>
      </w:tr>
      <w:tr w:rsidR="00FA6E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Acidic</w:t>
            </w:r>
          </w:p>
        </w:tc>
        <w:tc>
          <w:tcPr>
            <w:tcW w:w="1323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>&lt; 7.00</w:t>
            </w:r>
          </w:p>
        </w:tc>
        <w:tc>
          <w:tcPr>
            <w:tcW w:w="1886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 xml:space="preserve">&gt; </w:t>
            </w:r>
            <w:r>
              <w:rPr>
                <w:position w:val="-4"/>
              </w:rPr>
              <w:object w:dxaOrig="980" w:dyaOrig="280">
                <v:shape id="_x0000_i1035" type="#_x0000_t75" style="width:41.25pt;height:12pt" o:ole="">
                  <v:imagedata r:id="rId31" o:title=""/>
                </v:shape>
                <o:OLEObject Type="Embed" ProgID="Equation.2" ShapeID="_x0000_i1035" DrawAspect="Content" ObjectID="_1525257536" r:id="rId32"/>
              </w:object>
            </w:r>
          </w:p>
        </w:tc>
        <w:tc>
          <w:tcPr>
            <w:tcW w:w="2074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>pink</w:t>
            </w:r>
          </w:p>
        </w:tc>
      </w:tr>
      <w:tr w:rsidR="00FA6E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323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>= 7.00</w:t>
            </w:r>
          </w:p>
        </w:tc>
        <w:tc>
          <w:tcPr>
            <w:tcW w:w="1886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 xml:space="preserve">= </w:t>
            </w:r>
            <w:r>
              <w:rPr>
                <w:position w:val="-4"/>
              </w:rPr>
              <w:object w:dxaOrig="980" w:dyaOrig="280">
                <v:shape id="_x0000_i1033" type="#_x0000_t75" style="width:41.25pt;height:12pt" o:ole="">
                  <v:imagedata r:id="rId31" o:title=""/>
                </v:shape>
                <o:OLEObject Type="Embed" ProgID="Equation.2" ShapeID="_x0000_i1033" DrawAspect="Content" ObjectID="_1525257537" r:id="rId33"/>
              </w:object>
            </w:r>
          </w:p>
        </w:tc>
        <w:tc>
          <w:tcPr>
            <w:tcW w:w="2074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>in between</w:t>
            </w:r>
          </w:p>
        </w:tc>
      </w:tr>
      <w:tr w:rsidR="00FA6E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shd w:val="pct20" w:color="auto" w:fill="auto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1323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>&gt; 7.00</w:t>
            </w:r>
          </w:p>
        </w:tc>
        <w:tc>
          <w:tcPr>
            <w:tcW w:w="1886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 xml:space="preserve">&lt; </w:t>
            </w:r>
            <w:r>
              <w:rPr>
                <w:position w:val="-4"/>
              </w:rPr>
              <w:object w:dxaOrig="980" w:dyaOrig="280">
                <v:shape id="_x0000_i1034" type="#_x0000_t75" style="width:41.25pt;height:12pt" o:ole="">
                  <v:imagedata r:id="rId31" o:title=""/>
                </v:shape>
                <o:OLEObject Type="Embed" ProgID="Equation.2" ShapeID="_x0000_i1034" DrawAspect="Content" ObjectID="_1525257538" r:id="rId34"/>
              </w:object>
            </w:r>
          </w:p>
        </w:tc>
        <w:tc>
          <w:tcPr>
            <w:tcW w:w="2074" w:type="dxa"/>
          </w:tcPr>
          <w:p w:rsidR="00FA6E83" w:rsidRDefault="00FA6E83">
            <w:pPr>
              <w:tabs>
                <w:tab w:val="left" w:pos="360"/>
                <w:tab w:val="center" w:pos="4500"/>
                <w:tab w:val="right" w:pos="9000"/>
              </w:tabs>
              <w:jc w:val="center"/>
            </w:pPr>
            <w:r>
              <w:t>blue</w:t>
            </w:r>
          </w:p>
        </w:tc>
      </w:tr>
    </w:tbl>
    <w:p w:rsidR="00FA6E83" w:rsidRDefault="00FA6E83">
      <w:pPr>
        <w:tabs>
          <w:tab w:val="left" w:pos="360"/>
          <w:tab w:val="center" w:pos="4500"/>
          <w:tab w:val="right" w:pos="9000"/>
        </w:tabs>
        <w:rPr>
          <w:b/>
          <w:i/>
        </w:rPr>
      </w:pPr>
    </w:p>
    <w:sectPr w:rsidR="00FA6E83">
      <w:headerReference w:type="default" r:id="rId35"/>
      <w:footerReference w:type="default" r:id="rId36"/>
      <w:type w:val="continuous"/>
      <w:pgSz w:w="12240" w:h="15840"/>
      <w:pgMar w:top="720" w:right="144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83" w:rsidRDefault="00FA6E83">
      <w:r>
        <w:separator/>
      </w:r>
    </w:p>
  </w:endnote>
  <w:endnote w:type="continuationSeparator" w:id="0">
    <w:p w:rsidR="00FA6E83" w:rsidRDefault="00FA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83" w:rsidRDefault="00FA6E83">
    <w:pPr>
      <w:pStyle w:val="Footer"/>
      <w:widowControl w:val="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83" w:rsidRDefault="00FA6E83">
      <w:r>
        <w:separator/>
      </w:r>
    </w:p>
  </w:footnote>
  <w:footnote w:type="continuationSeparator" w:id="0">
    <w:p w:rsidR="00FA6E83" w:rsidRDefault="00FA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83" w:rsidRDefault="00FA6E83">
    <w:pPr>
      <w:pStyle w:val="Header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3B7833"/>
    <w:multiLevelType w:val="hybridMultilevel"/>
    <w:tmpl w:val="AABE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BC27A4"/>
    <w:multiLevelType w:val="hybridMultilevel"/>
    <w:tmpl w:val="DB168D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6272"/>
    <w:rsid w:val="002C6272"/>
    <w:rsid w:val="00390F58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700"/>
        <w:tab w:val="left" w:pos="2340"/>
        <w:tab w:val="left" w:pos="6120"/>
        <w:tab w:val="right" w:pos="9360"/>
      </w:tabs>
      <w:spacing w:line="300" w:lineRule="atLeas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16point">
    <w:name w:val="16 point"/>
    <w:basedOn w:val="Normal"/>
    <w:pPr>
      <w:tabs>
        <w:tab w:val="left" w:pos="360"/>
        <w:tab w:val="left" w:pos="5400"/>
      </w:tabs>
      <w:spacing w:line="320" w:lineRule="atLeast"/>
    </w:pPr>
  </w:style>
  <w:style w:type="paragraph" w:styleId="Title">
    <w:name w:val="Title"/>
    <w:basedOn w:val="Normal"/>
    <w:qFormat/>
    <w:pPr>
      <w:tabs>
        <w:tab w:val="left" w:pos="360"/>
        <w:tab w:val="center" w:pos="4500"/>
        <w:tab w:val="right" w:pos="9000"/>
      </w:tabs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pcz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pcz"/><Relationship Id="rId25" Type="http://schemas.openxmlformats.org/officeDocument/2006/relationships/image" Target="media/image13.wmf"/><Relationship Id="rId33" Type="http://schemas.openxmlformats.org/officeDocument/2006/relationships/oleObject" Target="embeddings/oleObject10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cz"/><Relationship Id="rId29" Type="http://schemas.openxmlformats.org/officeDocument/2006/relationships/image" Target="media/image16.pcz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cz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cz"/><Relationship Id="rId28" Type="http://schemas.openxmlformats.org/officeDocument/2006/relationships/image" Target="media/image15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cz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 Worksheet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Worksheet</dc:title>
  <dc:creator>Susan Piepho</dc:creator>
  <cp:lastModifiedBy>Windows User</cp:lastModifiedBy>
  <cp:revision>2</cp:revision>
  <cp:lastPrinted>2002-09-15T16:18:00Z</cp:lastPrinted>
  <dcterms:created xsi:type="dcterms:W3CDTF">2016-05-20T17:52:00Z</dcterms:created>
  <dcterms:modified xsi:type="dcterms:W3CDTF">2016-05-20T17:52:00Z</dcterms:modified>
</cp:coreProperties>
</file>